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89B" w:rsidRPr="0076789B" w:rsidRDefault="0076789B" w:rsidP="0076789B">
      <w:pPr>
        <w:spacing w:after="0" w:line="450" w:lineRule="atLeast"/>
        <w:textAlignment w:val="baseline"/>
        <w:outlineLvl w:val="0"/>
        <w:rPr>
          <w:rFonts w:ascii="Georgia" w:eastAsia="Times New Roman" w:hAnsi="Georgia" w:cs="Times New Roman"/>
          <w:b/>
          <w:bCs/>
          <w:color w:val="555555"/>
          <w:kern w:val="36"/>
          <w:sz w:val="36"/>
          <w:szCs w:val="36"/>
          <w:lang w:eastAsia="ru-RU"/>
        </w:rPr>
      </w:pPr>
      <w:r w:rsidRPr="0076789B">
        <w:rPr>
          <w:rFonts w:ascii="Georgia" w:eastAsia="Times New Roman" w:hAnsi="Georgia" w:cs="Times New Roman"/>
          <w:b/>
          <w:bCs/>
          <w:color w:val="555555"/>
          <w:kern w:val="36"/>
          <w:sz w:val="36"/>
          <w:szCs w:val="36"/>
          <w:lang w:eastAsia="ru-RU"/>
        </w:rPr>
        <w:t>Пра</w:t>
      </w:r>
      <w:bookmarkStart w:id="0" w:name="_GoBack"/>
      <w:bookmarkEnd w:id="0"/>
      <w:r w:rsidRPr="0076789B">
        <w:rPr>
          <w:rFonts w:ascii="Georgia" w:eastAsia="Times New Roman" w:hAnsi="Georgia" w:cs="Times New Roman"/>
          <w:b/>
          <w:bCs/>
          <w:color w:val="555555"/>
          <w:kern w:val="36"/>
          <w:sz w:val="36"/>
          <w:szCs w:val="36"/>
          <w:lang w:eastAsia="ru-RU"/>
        </w:rPr>
        <w:t>йс-лист</w:t>
      </w:r>
    </w:p>
    <w:p w:rsidR="0076789B" w:rsidRPr="0076789B" w:rsidRDefault="0076789B" w:rsidP="0076789B">
      <w:pPr>
        <w:shd w:val="clear" w:color="auto" w:fill="FFFFFF"/>
        <w:spacing w:after="0" w:line="240" w:lineRule="auto"/>
        <w:jc w:val="center"/>
        <w:textAlignment w:val="baseline"/>
        <w:rPr>
          <w:rFonts w:ascii="inherit" w:eastAsia="Times New Roman" w:hAnsi="inherit" w:cs="Times New Roman"/>
          <w:color w:val="777777"/>
          <w:sz w:val="23"/>
          <w:szCs w:val="23"/>
          <w:lang w:eastAsia="ru-RU"/>
        </w:rPr>
      </w:pPr>
      <w:r w:rsidRPr="0076789B">
        <w:rPr>
          <w:rFonts w:ascii="inherit" w:eastAsia="Times New Roman" w:hAnsi="inherit" w:cs="Times New Roman"/>
          <w:b/>
          <w:bCs/>
          <w:color w:val="307BB8"/>
          <w:sz w:val="23"/>
          <w:szCs w:val="23"/>
          <w:bdr w:val="none" w:sz="0" w:space="0" w:color="auto" w:frame="1"/>
          <w:lang w:eastAsia="ru-RU"/>
        </w:rPr>
        <w:t>СТОИМОСТЬ БУХГАЛТЕРСКИХ УСЛУГ НА ОСНОВАНИИ ДАННЫХ ХОЗЯЙСТВЕННОЙ ДЕЯТЕЛЬНОСТИ И ОБЪЕМЕ ДОКУМЕНТООБОРОТА ЗАКАЗЧИКА В МЕСЯЦ</w:t>
      </w:r>
    </w:p>
    <w:tbl>
      <w:tblPr>
        <w:tblW w:w="14670" w:type="dxa"/>
        <w:tblCellSpacing w:w="15" w:type="dxa"/>
        <w:tblBorders>
          <w:bottom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3"/>
        <w:gridCol w:w="1045"/>
        <w:gridCol w:w="186"/>
        <w:gridCol w:w="1638"/>
        <w:gridCol w:w="1504"/>
        <w:gridCol w:w="186"/>
        <w:gridCol w:w="1642"/>
        <w:gridCol w:w="1504"/>
        <w:gridCol w:w="186"/>
        <w:gridCol w:w="1642"/>
        <w:gridCol w:w="1115"/>
        <w:gridCol w:w="186"/>
        <w:gridCol w:w="1133"/>
      </w:tblGrid>
      <w:tr w:rsidR="0076789B" w:rsidRPr="0076789B" w:rsidTr="0076789B">
        <w:trPr>
          <w:tblCellSpacing w:w="15" w:type="dxa"/>
        </w:trPr>
        <w:tc>
          <w:tcPr>
            <w:tcW w:w="4380" w:type="dxa"/>
            <w:vMerge w:val="restart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Содержание услуги*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АССИСТЕНТ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ПРАКТИК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ПРОФЕССИОНАЛ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ЛИДЕР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DDDDDD"/>
              <w:left w:val="nil"/>
              <w:bottom w:val="nil"/>
              <w:right w:val="nil"/>
            </w:tcBorders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right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УСН</w:t>
            </w:r>
          </w:p>
        </w:tc>
        <w:tc>
          <w:tcPr>
            <w:tcW w:w="193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ОСН</w:t>
            </w:r>
          </w:p>
        </w:tc>
        <w:tc>
          <w:tcPr>
            <w:tcW w:w="193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УСН</w:t>
            </w:r>
          </w:p>
        </w:tc>
        <w:tc>
          <w:tcPr>
            <w:tcW w:w="192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ОСН</w:t>
            </w: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УСН</w:t>
            </w:r>
          </w:p>
        </w:tc>
        <w:tc>
          <w:tcPr>
            <w:tcW w:w="193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ОСН</w:t>
            </w:r>
          </w:p>
        </w:tc>
        <w:tc>
          <w:tcPr>
            <w:tcW w:w="187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УСН</w:t>
            </w:r>
          </w:p>
        </w:tc>
        <w:tc>
          <w:tcPr>
            <w:tcW w:w="187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ОСН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Количество первичных учетных документов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25 штук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50 штук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100 штук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250 штук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Расчет заработной платы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Не более 1 работника (работающего)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3 работников (работающих)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5 работников (работающих)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10 работников (работающих)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Наличие ВЭД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—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+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Учет НДС</w:t>
            </w:r>
          </w:p>
        </w:tc>
        <w:tc>
          <w:tcPr>
            <w:tcW w:w="193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—</w:t>
            </w: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Используется одна ставка НДС, отчетность квартальная</w:t>
            </w:r>
          </w:p>
        </w:tc>
        <w:tc>
          <w:tcPr>
            <w:tcW w:w="193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Используется одна ставка НДС, отчетность квартальная</w:t>
            </w:r>
          </w:p>
        </w:tc>
        <w:tc>
          <w:tcPr>
            <w:tcW w:w="192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Используется одна ставка НДС, отчетность квартальная</w:t>
            </w:r>
          </w:p>
        </w:tc>
        <w:tc>
          <w:tcPr>
            <w:tcW w:w="1920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Используется одна ставка НДС, отчетность квартальная</w:t>
            </w:r>
          </w:p>
        </w:tc>
        <w:tc>
          <w:tcPr>
            <w:tcW w:w="192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Используется одна ставка НДС, отчетность квартальная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Без ограничений по количеству ставок НДС и срокам отчетности, с осуществлением возврата НДС из бюджета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Предоставление Исполнителем базы 1С для автоматизации учета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+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+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Предоставление Заказчику удаленного доступа к 1С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—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—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—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Для 1 пользователя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Консультирование в сфере бухгалтерского учета, отчетности и налогообложения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1,5 часов в рабочие дни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3 часов в рабочие дни</w:t>
            </w:r>
          </w:p>
        </w:tc>
        <w:tc>
          <w:tcPr>
            <w:tcW w:w="384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До 5 часов в рабочие дни</w:t>
            </w:r>
          </w:p>
        </w:tc>
        <w:tc>
          <w:tcPr>
            <w:tcW w:w="3750" w:type="dxa"/>
            <w:gridSpan w:val="3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color w:val="000000"/>
                <w:sz w:val="23"/>
                <w:szCs w:val="23"/>
                <w:bdr w:val="none" w:sz="0" w:space="0" w:color="auto" w:frame="1"/>
                <w:lang w:eastAsia="ru-RU"/>
              </w:rPr>
              <w:t>Не ограничено, поддержка Заказчика 7 дней в неделю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СТОИМОСТЬ**, BYN</w:t>
            </w:r>
          </w:p>
        </w:tc>
        <w:tc>
          <w:tcPr>
            <w:tcW w:w="193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200</w:t>
            </w: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250</w:t>
            </w: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350</w:t>
            </w:r>
          </w:p>
        </w:tc>
        <w:tc>
          <w:tcPr>
            <w:tcW w:w="1935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450</w:t>
            </w:r>
          </w:p>
        </w:tc>
        <w:tc>
          <w:tcPr>
            <w:tcW w:w="1920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650</w:t>
            </w:r>
          </w:p>
        </w:tc>
        <w:tc>
          <w:tcPr>
            <w:tcW w:w="192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850</w:t>
            </w:r>
          </w:p>
        </w:tc>
        <w:tc>
          <w:tcPr>
            <w:tcW w:w="186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1200</w:t>
            </w:r>
          </w:p>
        </w:tc>
        <w:tc>
          <w:tcPr>
            <w:tcW w:w="1890" w:type="dxa"/>
            <w:gridSpan w:val="2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  <w:r w:rsidRPr="0076789B">
              <w:rPr>
                <w:rFonts w:ascii="inherit" w:eastAsia="Times New Roman" w:hAnsi="inherit" w:cs="Times New Roman"/>
                <w:b/>
                <w:bCs/>
                <w:color w:val="000080"/>
                <w:sz w:val="23"/>
                <w:szCs w:val="23"/>
                <w:bdr w:val="none" w:sz="0" w:space="0" w:color="auto" w:frame="1"/>
                <w:lang w:eastAsia="ru-RU"/>
              </w:rPr>
              <w:t>От 1500</w:t>
            </w:r>
          </w:p>
        </w:tc>
      </w:tr>
      <w:tr w:rsidR="0076789B" w:rsidRPr="0076789B" w:rsidTr="0076789B">
        <w:trPr>
          <w:tblCellSpacing w:w="15" w:type="dxa"/>
        </w:trPr>
        <w:tc>
          <w:tcPr>
            <w:tcW w:w="438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0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2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60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5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90" w:type="dxa"/>
              <w:left w:w="0" w:type="dxa"/>
              <w:bottom w:w="90" w:type="dxa"/>
              <w:right w:w="150" w:type="dxa"/>
            </w:tcMar>
            <w:vAlign w:val="bottom"/>
            <w:hideMark/>
          </w:tcPr>
          <w:p w:rsidR="0076789B" w:rsidRPr="0076789B" w:rsidRDefault="0076789B" w:rsidP="007678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6789B" w:rsidRPr="0076789B" w:rsidRDefault="0076789B" w:rsidP="0076789B">
      <w:pPr>
        <w:shd w:val="clear" w:color="auto" w:fill="FFFFFF"/>
        <w:spacing w:after="225" w:line="240" w:lineRule="auto"/>
        <w:textAlignment w:val="baseline"/>
        <w:rPr>
          <w:rFonts w:ascii="inherit" w:eastAsia="Times New Roman" w:hAnsi="inherit" w:cs="Times New Roman"/>
          <w:color w:val="777777"/>
          <w:sz w:val="23"/>
          <w:szCs w:val="23"/>
          <w:lang w:eastAsia="ru-RU"/>
        </w:rPr>
      </w:pPr>
      <w:r w:rsidRPr="0076789B">
        <w:rPr>
          <w:rFonts w:ascii="inherit" w:eastAsia="Times New Roman" w:hAnsi="inherit" w:cs="Times New Roman"/>
          <w:color w:val="777777"/>
          <w:sz w:val="23"/>
          <w:szCs w:val="23"/>
          <w:lang w:eastAsia="ru-RU"/>
        </w:rPr>
        <w:lastRenderedPageBreak/>
        <w:t> </w:t>
      </w:r>
    </w:p>
    <w:p w:rsidR="0076789B" w:rsidRPr="0076789B" w:rsidRDefault="0076789B" w:rsidP="0076789B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Times New Roman"/>
          <w:color w:val="777777"/>
          <w:sz w:val="23"/>
          <w:szCs w:val="23"/>
          <w:lang w:eastAsia="ru-RU"/>
        </w:rPr>
      </w:pPr>
      <w:r w:rsidRPr="0076789B">
        <w:rPr>
          <w:rFonts w:ascii="inherit" w:eastAsia="Times New Roman" w:hAnsi="inherit" w:cs="Times New Roman"/>
          <w:color w:val="777777"/>
          <w:sz w:val="23"/>
          <w:szCs w:val="23"/>
          <w:lang w:eastAsia="ru-RU"/>
        </w:rPr>
        <w:t>________________________</w:t>
      </w:r>
      <w:r w:rsidRPr="0076789B">
        <w:rPr>
          <w:rFonts w:ascii="inherit" w:eastAsia="Times New Roman" w:hAnsi="inherit" w:cs="Times New Roman"/>
          <w:color w:val="777777"/>
          <w:sz w:val="23"/>
          <w:szCs w:val="23"/>
          <w:lang w:eastAsia="ru-RU"/>
        </w:rPr>
        <w:br/>
      </w:r>
      <w:r w:rsidRPr="0076789B">
        <w:rPr>
          <w:rFonts w:ascii="inherit" w:eastAsia="Times New Roman" w:hAnsi="inherit" w:cs="Times New Roman"/>
          <w:color w:val="000000"/>
          <w:sz w:val="23"/>
          <w:szCs w:val="23"/>
          <w:bdr w:val="none" w:sz="0" w:space="0" w:color="auto" w:frame="1"/>
          <w:lang w:eastAsia="ru-RU"/>
        </w:rPr>
        <w:t>*Дополнительные услуги оказываются как в составе договора оказания услуг по ведению бухгалтерского учета и составлению отчетности, так и </w:t>
      </w:r>
      <w:proofErr w:type="gramStart"/>
      <w:r w:rsidRPr="0076789B">
        <w:rPr>
          <w:rFonts w:ascii="inherit" w:eastAsia="Times New Roman" w:hAnsi="inherit" w:cs="Times New Roman"/>
          <w:color w:val="000000"/>
          <w:sz w:val="23"/>
          <w:szCs w:val="23"/>
          <w:bdr w:val="none" w:sz="0" w:space="0" w:color="auto" w:frame="1"/>
          <w:lang w:eastAsia="ru-RU"/>
        </w:rPr>
        <w:t>отдельно.</w:t>
      </w:r>
      <w:r w:rsidRPr="0076789B">
        <w:rPr>
          <w:rFonts w:ascii="inherit" w:eastAsia="Times New Roman" w:hAnsi="inherit" w:cs="Times New Roman"/>
          <w:color w:val="777777"/>
          <w:sz w:val="23"/>
          <w:szCs w:val="23"/>
          <w:lang w:eastAsia="ru-RU"/>
        </w:rPr>
        <w:br/>
      </w:r>
      <w:r w:rsidRPr="0076789B">
        <w:rPr>
          <w:rFonts w:ascii="inherit" w:eastAsia="Times New Roman" w:hAnsi="inherit" w:cs="Times New Roman"/>
          <w:color w:val="000000"/>
          <w:sz w:val="23"/>
          <w:szCs w:val="23"/>
          <w:bdr w:val="none" w:sz="0" w:space="0" w:color="auto" w:frame="1"/>
          <w:lang w:eastAsia="ru-RU"/>
        </w:rPr>
        <w:t>*</w:t>
      </w:r>
      <w:proofErr w:type="gramEnd"/>
      <w:r w:rsidRPr="0076789B">
        <w:rPr>
          <w:rFonts w:ascii="inherit" w:eastAsia="Times New Roman" w:hAnsi="inherit" w:cs="Times New Roman"/>
          <w:color w:val="000000"/>
          <w:sz w:val="23"/>
          <w:szCs w:val="23"/>
          <w:bdr w:val="none" w:sz="0" w:space="0" w:color="auto" w:frame="1"/>
          <w:lang w:eastAsia="ru-RU"/>
        </w:rPr>
        <w:t>*Для каждого клиента стоимость оказания бухгалтерских услуг рассчитывается индивидуально и может отличаться от указанных цен, как в сторону уменьшения, так и увеличения.</w:t>
      </w:r>
    </w:p>
    <w:p w:rsidR="008F5F3C" w:rsidRDefault="008F5F3C" w:rsidP="0076789B">
      <w:pPr>
        <w:ind w:left="-851"/>
      </w:pPr>
    </w:p>
    <w:sectPr w:rsidR="008F5F3C" w:rsidSect="0076789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89B"/>
    <w:rsid w:val="0076789B"/>
    <w:rsid w:val="008F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028636-46C9-45B3-AB8C-B86D71F5B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5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2019-02-10T13:14:00Z</dcterms:created>
  <dcterms:modified xsi:type="dcterms:W3CDTF">2019-02-10T13:15:00Z</dcterms:modified>
</cp:coreProperties>
</file>